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uk-UA" w:eastAsia="zh-CN" w:bidi="ar-SA"/>
        </w:rPr>
        <w:t>Поточний ремонт та облаштування автобусних зупинок та лавок у м.Прилуки           (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uk-UA" w:eastAsia="en-US" w:bidi="ar-SA"/>
        </w:rPr>
        <w:t xml:space="preserve">ДК 021:2015 -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uk-UA" w:eastAsia="zh-CN" w:bidi="ar-SA"/>
        </w:rPr>
        <w:t xml:space="preserve">45210000-2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2"/>
          <w:szCs w:val="22"/>
          <w:lang w:val="uk-UA" w:eastAsia="zh-CN" w:bidi="ar-SA"/>
        </w:rPr>
        <w:t>Будівництво будівель),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UA-2023-07-1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3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-00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0529</w:t>
      </w:r>
      <w:r>
        <w:rPr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b w:val="false"/>
          <w:bCs w:val="false"/>
          <w:sz w:val="22"/>
          <w:szCs w:val="22"/>
          <w:lang w:val="en-US"/>
        </w:rPr>
        <w:t>2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>00 000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бюджету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uk-UA" w:eastAsia="zh-CN" w:bidi="ar-SA"/>
        </w:rPr>
        <w:t>При наданні послуг з поточного ремонту зупинок та лавок у м.Прилуки Виконавець повинен виконати: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</w:r>
      <w:r>
        <w:rPr>
          <w:rFonts w:eastAsia="Times New Roman" w:cs="Times New Roman" w:ascii="Times New Roman" w:hAnsi="Times New Roman"/>
          <w:color w:val="auto"/>
          <w:sz w:val="24"/>
          <w:szCs w:val="24"/>
          <w:u w:val="single"/>
          <w:lang w:val="uk-UA" w:eastAsia="zh-CN" w:bidi="ar-SA"/>
        </w:rPr>
        <w:t>1.Поточний ремонт 66 автобусних зупинок, що включає в себе: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-ремонт та відновлення елементів навісів (з використанням будівельних матеріалів, устаткування, деревини тощо);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-влаштування навісів з використанням будівельних матеріалів (полікарбонат).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Виконання робіт з поточного ремонту зупинок передбачає використання наступних матеріалів: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-брус (50х50) — 190 м/пог;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-брус обрізний — 5 куб.м;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-лист полікарбонат — 10 шт;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-болт — 350 шт;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-гайка — 200 шт;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-гвинт — 200 шт;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-шуруп — 180 шт;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-оцинкований лист 0,55 мм (1м х 2м) — 16 шт;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-труба профільна 40х40х2мм — 30 м/пог;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-труба профільна 25х25х2мм — 42 м/пог;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-круг відрізний по металу — 20 шт;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-електроди — 30 кг;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>-шуруп для металу — 100 шт.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ab/>
        <w:t xml:space="preserve">2.Поточний ремонт 50 лавок, що включає в себе відновлення, ремонт, виправлення конструктивних елементів з використанням матеріалів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 w:eastAsia="zh-CN" w:bidi="ar-SA"/>
        </w:rPr>
        <w:t>дерев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 w:eastAsia="zh-CN" w:bidi="ar-SA"/>
        </w:rPr>
        <w:t>’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en-US" w:eastAsia="zh-CN" w:bidi="ar-SA"/>
        </w:rPr>
        <w:t>яної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uk-UA" w:eastAsia="zh-CN" w:bidi="ar-SA"/>
        </w:rPr>
        <w:t xml:space="preserve"> складової (брус монтажний 50х50мм — 150 пог.м) та витратних матеріалів.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2"/>
          <w:szCs w:val="22"/>
          <w:lang w:val="uk-UA"/>
        </w:rPr>
        <w:t xml:space="preserve">В процесі виконання зазначений обсяг  послуг може уточнюватися (коригуватися) Замовником у межах вартості </w:t>
      </w:r>
      <w:r>
        <w:rPr>
          <w:rFonts w:eastAsia="Times New Roman" w:cs="Times New Roman"/>
          <w:color w:val="auto"/>
          <w:sz w:val="22"/>
          <w:szCs w:val="22"/>
          <w:lang w:val="uk-UA" w:eastAsia="zh-CN" w:bidi="ar-SA"/>
        </w:rPr>
        <w:t>укладеного договору</w:t>
      </w:r>
      <w:r>
        <w:rPr>
          <w:rFonts w:cs="Times New Roman"/>
          <w:sz w:val="22"/>
          <w:szCs w:val="22"/>
          <w:lang w:val="uk-UA"/>
        </w:rPr>
        <w:t>.</w:t>
      </w:r>
    </w:p>
    <w:p>
      <w:pPr>
        <w:pStyle w:val="Normal"/>
        <w:ind w:left="0" w:right="0" w:firstLine="567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Виконавець несе відповідальність за своєчасне проведення комплексу послуг по об'єктах в терміни установлені договором.</w:t>
      </w:r>
    </w:p>
    <w:p>
      <w:pPr>
        <w:pStyle w:val="Normal"/>
        <w:ind w:left="0" w:right="0" w:firstLine="567"/>
        <w:jc w:val="both"/>
        <w:rPr>
          <w:rFonts w:eastAsia="Times New Roman CYR" w:cs="Times New Roman"/>
          <w:color w:val="000000"/>
          <w:sz w:val="22"/>
          <w:szCs w:val="22"/>
          <w:lang w:val="uk-UA"/>
        </w:rPr>
      </w:pPr>
      <w:r>
        <w:rPr>
          <w:rFonts w:eastAsia="Times New Roman CYR" w:cs="Times New Roman"/>
          <w:color w:val="000000"/>
          <w:sz w:val="22"/>
          <w:szCs w:val="22"/>
          <w:lang w:val="uk-UA"/>
        </w:rPr>
        <w:t>Відповідальність за якість та своєчасне надання послуг несе Виконавець послуг відповідно законодавства.</w:t>
      </w:r>
    </w:p>
    <w:p>
      <w:pPr>
        <w:pStyle w:val="1"/>
        <w:ind w:left="0" w:right="0"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"/>
        <w:ind w:left="0" w:righ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Вартість пропозиції та всі інші ціни повинні бути чітко визначені. </w:t>
      </w:r>
    </w:p>
    <w:p>
      <w:pPr>
        <w:pStyle w:val="1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2"/>
          <w:szCs w:val="22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1"/>
        <w:widowControl w:val="false"/>
        <w:spacing w:lineRule="auto" w:line="240"/>
        <w:ind w:left="34" w:right="113" w:firstLine="426"/>
        <w:jc w:val="both"/>
        <w:rPr>
          <w:rFonts w:eastAsia="Times New Roman" w:cs="Times New Roman"/>
          <w:sz w:val="22"/>
          <w:szCs w:val="22"/>
          <w:lang w:val="uk-UA"/>
        </w:rPr>
      </w:pPr>
      <w:r>
        <w:rPr>
          <w:rFonts w:eastAsia="Times New Roman" w:cs="Times New Roman"/>
          <w:sz w:val="22"/>
          <w:szCs w:val="22"/>
          <w:lang w:val="uk-UA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val="uk-UA" w:eastAsia="zh-CN" w:bidi="ar-SA"/>
        </w:rPr>
        <w:tab/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val="uk-UA" w:eastAsia="zh-CN" w:bidi="ar-SA"/>
        </w:rPr>
        <w:t xml:space="preserve">Учасник визначений переможцем процедури закупівлі у строк, що не перевищує чотири дні 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shd w:fill="FFFFFF" w:val="clear"/>
          <w:lang w:val="uk-UA" w:eastAsia="en-US" w:bidi="ar-SA"/>
        </w:rPr>
        <w:t>з дати оприлюднення в електронній системі закупівель повідомлення про намір укласти договір про закупівлю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val="uk-UA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val="uk-UA" w:eastAsia="zh-CN" w:bidi="ar-SA"/>
        </w:rPr>
        <w:t>завантажує до електронної системи розрахунок ціни (у форматі pdf) на суму, з якою переміг в електронному аукціоні, виготовленому у відповідності до вимог цього додатку.</w:t>
      </w:r>
    </w:p>
    <w:p>
      <w:pPr>
        <w:pStyle w:val="Normal"/>
        <w:spacing w:lineRule="exact" w:line="227"/>
        <w:jc w:val="both"/>
        <w:rPr>
          <w:sz w:val="22"/>
          <w:szCs w:val="22"/>
          <w:lang w:val="uk-UA"/>
        </w:rPr>
      </w:pPr>
      <w:r>
        <w:rPr/>
      </w:r>
    </w:p>
    <w:p>
      <w:pPr>
        <w:pStyle w:val="Normal"/>
        <w:spacing w:lineRule="exact" w:line="227"/>
        <w:jc w:val="both"/>
        <w:rPr/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spacing w:lineRule="exact" w:line="227"/>
        <w:jc w:val="both"/>
        <w:rPr/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17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1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Style23">
    <w:name w:val="Абзац списка"/>
    <w:basedOn w:val="Standard"/>
    <w:qFormat/>
    <w:pPr>
      <w:ind w:left="720" w:right="0" w:hanging="0"/>
    </w:pPr>
    <w:rPr/>
  </w:style>
  <w:style w:type="paragraph" w:styleId="Style24">
    <w:name w:val="Обычный (веб)"/>
    <w:basedOn w:val="Normal"/>
    <w:qFormat/>
    <w:pPr>
      <w:suppressAutoHyphens w:val="false"/>
      <w:spacing w:before="280" w:after="280"/>
    </w:pPr>
    <w:rPr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LibreOffice/7.0.4.2$Windows_X86_64 LibreOffice_project/dcf040e67528d9187c66b2379df5ea4407429775</Application>
  <AppVersion>15.0000</AppVersion>
  <Pages>1</Pages>
  <Words>397</Words>
  <Characters>2752</Characters>
  <CharactersWithSpaces>3170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2021-12-03T08:58:00Z</dcterms:created>
  <dc:creator>ugkh5</dc:creator>
  <dc:description/>
  <dc:language>uk-UA</dc:language>
  <cp:lastModifiedBy/>
  <dcterms:modified xsi:type="dcterms:W3CDTF">2023-07-13T15:59:21Z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